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E90B" w14:textId="460DB280" w:rsidR="00D07C27" w:rsidRPr="00D57B30" w:rsidRDefault="00DD25D6" w:rsidP="008246F4">
      <w:pPr>
        <w:pStyle w:val="Ttulo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Tema 1 del orden del día: Apertura del plenario y descripción general de las reuniones</w:t>
      </w:r>
    </w:p>
    <w:p w14:paraId="4C084511" w14:textId="4D7604B8" w:rsidR="00F21D6A" w:rsidRDefault="00F60D91" w:rsidP="00EE2665">
      <w:pPr>
        <w:pStyle w:val="Ttulo2"/>
      </w:pPr>
      <w:r>
        <w:t>Cuestión</w:t>
      </w:r>
    </w:p>
    <w:p w14:paraId="12D6F863" w14:textId="6992F294" w:rsidR="00EC3C37" w:rsidRDefault="00E06DE4" w:rsidP="00EE2665">
      <w:pPr>
        <w:pStyle w:val="Textoindependiente"/>
        <w:numPr>
          <w:ilvl w:val="0"/>
          <w:numId w:val="16"/>
        </w:numPr>
        <w:ind w:right="545"/>
      </w:pPr>
      <w:r>
        <w:t>Presentaciones.</w:t>
      </w:r>
    </w:p>
    <w:p w14:paraId="46BB2F0D" w14:textId="2D6349F8" w:rsidR="00EE2665" w:rsidRDefault="00E06DE4" w:rsidP="00EE2665">
      <w:pPr>
        <w:pStyle w:val="Textoindependiente"/>
        <w:numPr>
          <w:ilvl w:val="0"/>
          <w:numId w:val="16"/>
        </w:numPr>
        <w:ind w:right="545"/>
      </w:pPr>
      <w:r>
        <w:t>Descripción general de las reuniones.</w:t>
      </w:r>
    </w:p>
    <w:p w14:paraId="5519832A" w14:textId="0B7C1771" w:rsidR="00644167" w:rsidRDefault="00644167" w:rsidP="00EE2665">
      <w:pPr>
        <w:pStyle w:val="Textoindependiente"/>
        <w:numPr>
          <w:ilvl w:val="0"/>
          <w:numId w:val="16"/>
        </w:numPr>
        <w:ind w:right="545"/>
      </w:pPr>
      <w:r>
        <w:t>Elecciones del GAC.</w:t>
      </w:r>
    </w:p>
    <w:p w14:paraId="3D945637" w14:textId="67EE6612" w:rsidR="00EE2665" w:rsidRDefault="00F60D91" w:rsidP="00EE2665">
      <w:pPr>
        <w:pStyle w:val="Ttulo2"/>
      </w:pPr>
      <w:r>
        <w:t>Acción del GAC requerida</w:t>
      </w:r>
    </w:p>
    <w:p w14:paraId="45710071" w14:textId="77777777" w:rsidR="00F60D91" w:rsidRPr="00F60D91" w:rsidRDefault="00F60D91" w:rsidP="00E06DE4">
      <w:pPr>
        <w:pStyle w:val="Textoindependiente"/>
        <w:ind w:right="545"/>
        <w:rPr>
          <w:b/>
        </w:rPr>
      </w:pPr>
      <w:r>
        <w:rPr>
          <w:b/>
        </w:rPr>
        <w:t>Presentaciones</w:t>
      </w:r>
    </w:p>
    <w:p w14:paraId="337AEFC6" w14:textId="513D7A94" w:rsidR="005A6672" w:rsidRDefault="007254F9" w:rsidP="007254F9">
      <w:pPr>
        <w:pStyle w:val="Textoindependiente"/>
        <w:ind w:right="545"/>
      </w:pPr>
      <w:r>
        <w:t xml:space="preserve">Los miembros y observadores del GAC se presentarán a través de una </w:t>
      </w:r>
      <w:r>
        <w:rPr>
          <w:i/>
        </w:rPr>
        <w:t>ronda de intervenciones</w:t>
      </w:r>
      <w:r>
        <w:t xml:space="preserve">. </w:t>
      </w:r>
    </w:p>
    <w:p w14:paraId="51FC94EC" w14:textId="63185216" w:rsidR="00F60D91" w:rsidRPr="00F60D91" w:rsidRDefault="00F60D91" w:rsidP="00F60D91">
      <w:pPr>
        <w:pStyle w:val="Textoindependiente"/>
        <w:ind w:right="545"/>
        <w:rPr>
          <w:b/>
        </w:rPr>
      </w:pPr>
      <w:r>
        <w:rPr>
          <w:b/>
        </w:rPr>
        <w:t xml:space="preserve">Descripción general de las reuniones </w:t>
      </w:r>
    </w:p>
    <w:p w14:paraId="7C982F68" w14:textId="718D406C" w:rsidR="00F60D91" w:rsidRDefault="007254F9" w:rsidP="00F60D91">
      <w:pPr>
        <w:pStyle w:val="Textoindependiente"/>
        <w:ind w:right="545"/>
      </w:pPr>
      <w:r>
        <w:t>El GAC señalará la estructura y el cronograma de:</w:t>
      </w:r>
    </w:p>
    <w:p w14:paraId="755FA097" w14:textId="6F675EF8" w:rsidR="00F60D91" w:rsidRDefault="001814B7" w:rsidP="00F60D91">
      <w:pPr>
        <w:pStyle w:val="Textoindependiente"/>
        <w:numPr>
          <w:ilvl w:val="0"/>
          <w:numId w:val="20"/>
        </w:numPr>
        <w:ind w:right="545"/>
      </w:pPr>
      <w:r>
        <w:t>Sesiones del GAC</w:t>
      </w:r>
    </w:p>
    <w:p w14:paraId="70A0ABC7" w14:textId="05B6439C" w:rsidR="00F60D91" w:rsidRDefault="00DD25D6" w:rsidP="00F60D91">
      <w:pPr>
        <w:pStyle w:val="Textoindependiente"/>
        <w:numPr>
          <w:ilvl w:val="0"/>
          <w:numId w:val="20"/>
        </w:numPr>
        <w:ind w:right="545"/>
      </w:pPr>
      <w:r>
        <w:t>Sesiones sobre temas intercomunitarios y de interés</w:t>
      </w:r>
    </w:p>
    <w:p w14:paraId="6A4A2E00" w14:textId="329BF4E9" w:rsidR="007254F9" w:rsidRDefault="001814B7" w:rsidP="007254F9">
      <w:pPr>
        <w:pStyle w:val="Textoindependiente"/>
        <w:ind w:right="545"/>
      </w:pPr>
      <w:proofErr w:type="gramStart"/>
      <w:r>
        <w:t>y</w:t>
      </w:r>
      <w:proofErr w:type="gramEnd"/>
      <w:r>
        <w:t xml:space="preserve"> planteará cualquier pregunta que puedan tener los miembros al respecto.</w:t>
      </w:r>
    </w:p>
    <w:p w14:paraId="240F6497" w14:textId="12A78A59" w:rsidR="00644167" w:rsidRPr="00644167" w:rsidRDefault="00644167" w:rsidP="007254F9">
      <w:pPr>
        <w:pStyle w:val="Textoindependiente"/>
        <w:ind w:right="545"/>
        <w:rPr>
          <w:b/>
        </w:rPr>
      </w:pPr>
      <w:r>
        <w:rPr>
          <w:b/>
        </w:rPr>
        <w:t>Elecciones del GAC</w:t>
      </w:r>
    </w:p>
    <w:p w14:paraId="40732344" w14:textId="4C26230F" w:rsidR="00644167" w:rsidRDefault="00644167" w:rsidP="007254F9">
      <w:pPr>
        <w:pStyle w:val="Textoindependiente"/>
        <w:ind w:right="545"/>
      </w:pPr>
      <w:r>
        <w:t>El GAC anotará la información que suministre el equipo de apoyo de la ICANN sobre el proceso de elección del Presidente y Vicepresidentes del GAC que tendrá lugar en el año 2019.</w:t>
      </w:r>
    </w:p>
    <w:p w14:paraId="5D1E6284" w14:textId="77777777" w:rsidR="00C92937" w:rsidRPr="00C92937" w:rsidRDefault="00C92937" w:rsidP="00C92937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</w:p>
    <w:p w14:paraId="6F93F1D6" w14:textId="77FEDF20" w:rsidR="00EE2665" w:rsidRDefault="00F60D91" w:rsidP="00EE2665">
      <w:pPr>
        <w:pStyle w:val="Ttulo2"/>
      </w:pPr>
      <w:r>
        <w:t>Posición actual</w:t>
      </w:r>
    </w:p>
    <w:p w14:paraId="53162B84" w14:textId="77777777" w:rsidR="00BC7B05" w:rsidRPr="00BC7B05" w:rsidRDefault="00BC7B05" w:rsidP="007254F9">
      <w:pPr>
        <w:pStyle w:val="Textoindependiente"/>
        <w:rPr>
          <w:b/>
        </w:rPr>
      </w:pPr>
      <w:r>
        <w:rPr>
          <w:b/>
        </w:rPr>
        <w:t>Presentaciones</w:t>
      </w:r>
    </w:p>
    <w:p w14:paraId="506DCAE0" w14:textId="7600D3BB" w:rsidR="007254F9" w:rsidRDefault="007254F9" w:rsidP="007254F9">
      <w:pPr>
        <w:pStyle w:val="Textoindependiente"/>
      </w:pPr>
      <w:r>
        <w:t>El Presidente del GAC presentará a los nuevos miembros y observadores.</w:t>
      </w:r>
    </w:p>
    <w:p w14:paraId="3EE6EE16" w14:textId="76540295" w:rsidR="00BC7B05" w:rsidRPr="00BC7B05" w:rsidRDefault="00474FB2" w:rsidP="007254F9">
      <w:pPr>
        <w:pStyle w:val="Textoindependiente"/>
        <w:rPr>
          <w:b/>
        </w:rPr>
      </w:pPr>
      <w:r>
        <w:rPr>
          <w:b/>
        </w:rPr>
        <w:t>Sesiones del GAC</w:t>
      </w:r>
    </w:p>
    <w:p w14:paraId="6E6F9CD1" w14:textId="268C3978" w:rsidR="00BC7B05" w:rsidRDefault="00BC7B05" w:rsidP="007254F9">
      <w:pPr>
        <w:pStyle w:val="Textoindependiente"/>
      </w:pPr>
      <w:r>
        <w:t>Los temas clave que debe abordar el GAC en esta reunión probablemente sean los siguientes:</w:t>
      </w:r>
    </w:p>
    <w:p w14:paraId="38798125" w14:textId="64FCFA2F" w:rsidR="00082DC5" w:rsidRDefault="00474FB2" w:rsidP="00082DC5">
      <w:pPr>
        <w:pStyle w:val="Textoindependiente"/>
        <w:numPr>
          <w:ilvl w:val="0"/>
          <w:numId w:val="25"/>
        </w:numPr>
      </w:pPr>
      <w:r>
        <w:rPr>
          <w:b/>
        </w:rPr>
        <w:t>Cumplimiento de la ICANN del Reglamento General sobre la Protección de Datos (GDPR)</w:t>
      </w:r>
      <w:r>
        <w:t>: en particular, los requisitos contractuales de la ICANN con respecto a los datos del WHOIS y la forma en que se puede acceder a ciertos datos. Hay sesiones del GAC al respecto, así como varias sesiones intercomunitarias.</w:t>
      </w:r>
    </w:p>
    <w:p w14:paraId="36588EE9" w14:textId="490744EF" w:rsidR="00A269EA" w:rsidRDefault="00474FB2" w:rsidP="00082DC5">
      <w:pPr>
        <w:pStyle w:val="Textoindependiente"/>
        <w:numPr>
          <w:ilvl w:val="0"/>
          <w:numId w:val="25"/>
        </w:numPr>
      </w:pPr>
      <w:r>
        <w:rPr>
          <w:b/>
        </w:rPr>
        <w:t>Nombres geográficos en el alto nivel</w:t>
      </w:r>
      <w:r>
        <w:t>: en particular, la participación del GAC con el desarrollo de políticas a través del Área de Trabajo 5 del PDP sobre procedimientos posteriores a la introducción de nuevos gTLD. Hay dos sesiones del Área de Trabajo 5 en el formato de sesiones intercomunitarias,</w:t>
      </w:r>
    </w:p>
    <w:p w14:paraId="3A8BA798" w14:textId="433A5D37" w:rsidR="00F80F21" w:rsidRPr="00F80F21" w:rsidRDefault="00F80F21" w:rsidP="007254F9">
      <w:pPr>
        <w:pStyle w:val="Textoindependiente"/>
        <w:rPr>
          <w:b/>
        </w:rPr>
      </w:pPr>
      <w:r>
        <w:rPr>
          <w:b/>
        </w:rPr>
        <w:lastRenderedPageBreak/>
        <w:t>Sesiones sobre temas intercomunitarios y de interés</w:t>
      </w:r>
    </w:p>
    <w:p w14:paraId="08DA44B4" w14:textId="4071EEE6" w:rsidR="006A2807" w:rsidRPr="001814B7" w:rsidRDefault="0061275E" w:rsidP="007254F9">
      <w:pPr>
        <w:pStyle w:val="Textoindependiente"/>
        <w:rPr>
          <w:u w:val="single"/>
        </w:rPr>
      </w:pPr>
      <w:r>
        <w:rPr>
          <w:u w:val="single"/>
        </w:rPr>
        <w:t>Lunes 25 de junio: Nombres geográficos en el alto nivel (1 de 2)</w:t>
      </w:r>
    </w:p>
    <w:p w14:paraId="0B48A0E0" w14:textId="3ED32630" w:rsidR="006A2807" w:rsidRDefault="006A2807" w:rsidP="007254F9">
      <w:pPr>
        <w:pStyle w:val="Textoindependiente"/>
      </w:pPr>
      <w:r>
        <w:t>Esta será una sesión de trabajo del Área de Trabajo 5 del PDP sobre procedimientos posteriores a la introducción de nuevos gTLD.</w:t>
      </w:r>
    </w:p>
    <w:p w14:paraId="2F33743F" w14:textId="333750CE" w:rsidR="001A3B02" w:rsidRPr="001814B7" w:rsidRDefault="003F6D42" w:rsidP="007254F9">
      <w:pPr>
        <w:pStyle w:val="Textoindependiente"/>
        <w:rPr>
          <w:u w:val="single"/>
        </w:rPr>
      </w:pPr>
      <w:r>
        <w:rPr>
          <w:u w:val="single"/>
        </w:rPr>
        <w:t>Lunes 25 de junio: Revisión RDS/WHOIS2</w:t>
      </w:r>
    </w:p>
    <w:p w14:paraId="5C0070D3" w14:textId="5CA9542D" w:rsidR="001814B7" w:rsidRDefault="003F6D42" w:rsidP="007254F9">
      <w:pPr>
        <w:pStyle w:val="Textoindependiente"/>
      </w:pPr>
      <w:r>
        <w:t>El Equipo de Revisión RDS/WHOIS2 brindará una actualización sobre sus conclusiones hasta la fecha.</w:t>
      </w:r>
    </w:p>
    <w:p w14:paraId="44F905A8" w14:textId="6EFBC9C5" w:rsidR="001A3B02" w:rsidRPr="001814B7" w:rsidRDefault="003F6D42" w:rsidP="007254F9">
      <w:pPr>
        <w:pStyle w:val="Textoindependiente"/>
        <w:rPr>
          <w:u w:val="single"/>
        </w:rPr>
      </w:pPr>
      <w:r>
        <w:rPr>
          <w:u w:val="single"/>
        </w:rPr>
        <w:t>Martes 26 de junio: Política de WHOIS/RDS posterior al GDPR</w:t>
      </w:r>
    </w:p>
    <w:p w14:paraId="54649CFE" w14:textId="642E47B1" w:rsidR="006A2807" w:rsidRDefault="003F6D42" w:rsidP="007254F9">
      <w:pPr>
        <w:pStyle w:val="Textoindependiente"/>
      </w:pPr>
      <w:r>
        <w:t>Esta sesión analizará cómo avanzar hacia una política de consenso final para WHOIS/RDS.</w:t>
      </w:r>
    </w:p>
    <w:p w14:paraId="5E81400B" w14:textId="32EDA429" w:rsidR="003F6D42" w:rsidRPr="003F6D42" w:rsidRDefault="003F6D42" w:rsidP="007254F9">
      <w:pPr>
        <w:pStyle w:val="Textoindependiente"/>
        <w:rPr>
          <w:u w:val="single"/>
        </w:rPr>
      </w:pPr>
      <w:r>
        <w:rPr>
          <w:u w:val="single"/>
        </w:rPr>
        <w:t>Martes 26 de junio: Acreditación y acceso a datos no públicos del WHOIS después del GDPR</w:t>
      </w:r>
    </w:p>
    <w:p w14:paraId="61BF7968" w14:textId="7A49C419" w:rsidR="003F6D42" w:rsidRDefault="003F6D42" w:rsidP="007254F9">
      <w:pPr>
        <w:pStyle w:val="Textoindependiente"/>
      </w:pPr>
      <w:r>
        <w:t>Esta sesión considerará opciones de un régimen de acceso para datos no públicos del RDS.</w:t>
      </w:r>
    </w:p>
    <w:p w14:paraId="2554B849" w14:textId="4CB23AC6" w:rsidR="001A3B02" w:rsidRPr="001814B7" w:rsidRDefault="003F6D42" w:rsidP="007254F9">
      <w:pPr>
        <w:pStyle w:val="Textoindependiente"/>
        <w:rPr>
          <w:u w:val="single"/>
        </w:rPr>
      </w:pPr>
      <w:r>
        <w:rPr>
          <w:u w:val="single"/>
        </w:rPr>
        <w:t>Miércoles 27 de junio: Informe Final del CCWG sobre Responsabilidad</w:t>
      </w:r>
    </w:p>
    <w:p w14:paraId="5D791F0C" w14:textId="4A80B215" w:rsidR="006A2807" w:rsidRDefault="001703E0" w:rsidP="007254F9">
      <w:pPr>
        <w:pStyle w:val="Textoindependiente"/>
      </w:pPr>
      <w:r>
        <w:t>Esta sesión será una presentación y una sesión de preguntas y respuestas sobre el informe final y las recomendaciones del Área de trabajo 2 del CCWG sobre Responsabilidad.</w:t>
      </w:r>
    </w:p>
    <w:p w14:paraId="463CBF1F" w14:textId="5E7C0791" w:rsidR="00C92937" w:rsidRDefault="00C92937" w:rsidP="007254F9">
      <w:pPr>
        <w:pStyle w:val="Textoindependiente"/>
        <w:rPr>
          <w:u w:val="single"/>
        </w:rPr>
      </w:pPr>
      <w:r>
        <w:rPr>
          <w:u w:val="single"/>
        </w:rPr>
        <w:t>Jueves 28 de junio:</w:t>
      </w:r>
      <w:r>
        <w:t xml:space="preserve"> </w:t>
      </w:r>
      <w:r>
        <w:rPr>
          <w:u w:val="single"/>
        </w:rPr>
        <w:t>Nombres geográficos en el alto nivel (2 de 2)</w:t>
      </w:r>
    </w:p>
    <w:p w14:paraId="573B273B" w14:textId="71B642FC" w:rsidR="00C92937" w:rsidRDefault="00C92937" w:rsidP="007254F9">
      <w:pPr>
        <w:pStyle w:val="Textoindependiente"/>
      </w:pPr>
      <w:r>
        <w:t>Esta será una sesión de trabajo del Área de Trabajo 5 del PDP sobre procedimientos posteriores a la introducción de nuevos gTLD.</w:t>
      </w:r>
    </w:p>
    <w:p w14:paraId="7834A000" w14:textId="31873A7C" w:rsidR="00C92937" w:rsidRPr="00C92937" w:rsidRDefault="00C92937" w:rsidP="007254F9">
      <w:pPr>
        <w:pStyle w:val="Textoindependiente"/>
        <w:rPr>
          <w:u w:val="single"/>
        </w:rPr>
      </w:pPr>
      <w:r>
        <w:rPr>
          <w:u w:val="single"/>
        </w:rPr>
        <w:t>Jueves 28 de junio: Especificación temporal para los datos de registración de gTLD</w:t>
      </w:r>
    </w:p>
    <w:p w14:paraId="2BDB7FFD" w14:textId="36EC560C" w:rsidR="00C92937" w:rsidRDefault="00C92937" w:rsidP="007254F9">
      <w:pPr>
        <w:pStyle w:val="Textoindependiente"/>
      </w:pPr>
      <w:r>
        <w:t>Esta será una presentación del equipo de liderazgo de la GNSO sobre los próximos pasos en el proceso de desarrollo de políticas sobre este asunto.</w:t>
      </w:r>
    </w:p>
    <w:p w14:paraId="23ADE04E" w14:textId="2D47AC77" w:rsidR="00644167" w:rsidRPr="00644167" w:rsidRDefault="00644167" w:rsidP="007254F9">
      <w:pPr>
        <w:pStyle w:val="Textoindependiente"/>
        <w:rPr>
          <w:b/>
        </w:rPr>
      </w:pPr>
      <w:r>
        <w:rPr>
          <w:b/>
        </w:rPr>
        <w:t>Elecciones del GAC</w:t>
      </w:r>
    </w:p>
    <w:p w14:paraId="31B011AC" w14:textId="48C3D608" w:rsidR="00644167" w:rsidRPr="00C92937" w:rsidRDefault="00644167" w:rsidP="007254F9">
      <w:pPr>
        <w:pStyle w:val="Textoindependiente"/>
      </w:pPr>
      <w:r>
        <w:t>Véase documento informativo para el tema 24 del orden del día.</w:t>
      </w:r>
    </w:p>
    <w:p w14:paraId="697DB6B3" w14:textId="4E931981" w:rsidR="00E06DE4" w:rsidRDefault="00F60D91" w:rsidP="00E06DE4">
      <w:pPr>
        <w:pStyle w:val="Ttulo2"/>
      </w:pPr>
      <w:r>
        <w:t>Información adicional</w:t>
      </w:r>
    </w:p>
    <w:p w14:paraId="2D62421E" w14:textId="2DCBC0BA" w:rsidR="00E545AD" w:rsidRDefault="008036A5" w:rsidP="00E545AD">
      <w:pPr>
        <w:spacing w:line="276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Aplicación móvil de ICANN 62: Puede descargarla de sus sitios IOS y Android de su preferencia.</w:t>
      </w:r>
    </w:p>
    <w:p w14:paraId="7CAD7E47" w14:textId="26D25A69" w:rsidR="008036A5" w:rsidRPr="00580BC7" w:rsidRDefault="008036A5" w:rsidP="00E545AD">
      <w:pPr>
        <w:spacing w:line="276" w:lineRule="auto"/>
        <w:rPr>
          <w:rFonts w:ascii="Century Gothic" w:hAnsi="Century Gothic"/>
          <w:color w:val="000000"/>
          <w:sz w:val="20"/>
          <w:szCs w:val="20"/>
          <w:lang w:val="es-AR"/>
        </w:rPr>
      </w:pPr>
    </w:p>
    <w:p w14:paraId="6EE34848" w14:textId="6FFD87B7" w:rsidR="008036A5" w:rsidRDefault="00D447FC" w:rsidP="00E545AD">
      <w:pPr>
        <w:spacing w:line="276" w:lineRule="auto"/>
        <w:rPr>
          <w:rFonts w:ascii="Century Gothic" w:hAnsi="Century Gothic"/>
          <w:color w:val="000000"/>
          <w:sz w:val="20"/>
          <w:szCs w:val="20"/>
        </w:rPr>
      </w:pPr>
      <w:hyperlink r:id="rId9" w:history="1">
        <w:r w:rsidR="0067686F">
          <w:rPr>
            <w:rStyle w:val="Hipervnculo"/>
            <w:rFonts w:ascii="Century Gothic" w:hAnsi="Century Gothic"/>
            <w:sz w:val="20"/>
            <w:szCs w:val="20"/>
          </w:rPr>
          <w:t>Sitio de las reuniones de ICANN 62</w:t>
        </w:r>
      </w:hyperlink>
    </w:p>
    <w:p w14:paraId="684C69BB" w14:textId="568111CF" w:rsidR="008036A5" w:rsidRPr="00580BC7" w:rsidRDefault="008036A5" w:rsidP="00E545AD">
      <w:pPr>
        <w:spacing w:line="276" w:lineRule="auto"/>
        <w:rPr>
          <w:rFonts w:ascii="Century Gothic" w:hAnsi="Century Gothic"/>
          <w:color w:val="000000"/>
          <w:sz w:val="20"/>
          <w:szCs w:val="20"/>
          <w:lang w:val="es-AR"/>
        </w:rPr>
      </w:pPr>
    </w:p>
    <w:p w14:paraId="30951B1A" w14:textId="7C5EDC53" w:rsidR="008036A5" w:rsidRPr="00E545AD" w:rsidRDefault="00D447FC" w:rsidP="00E545AD">
      <w:pPr>
        <w:spacing w:line="276" w:lineRule="auto"/>
        <w:rPr>
          <w:rFonts w:ascii="Century Gothic" w:hAnsi="Century Gothic"/>
          <w:color w:val="000000"/>
          <w:sz w:val="20"/>
          <w:szCs w:val="20"/>
        </w:rPr>
      </w:pPr>
      <w:hyperlink r:id="rId10" w:history="1">
        <w:r w:rsidR="0067686F">
          <w:rPr>
            <w:rStyle w:val="Hipervnculo"/>
            <w:rFonts w:ascii="Century Gothic" w:hAnsi="Century Gothic"/>
            <w:sz w:val="20"/>
            <w:szCs w:val="20"/>
          </w:rPr>
          <w:t>Programa de reuniones de ICANN 62</w:t>
        </w:r>
      </w:hyperlink>
    </w:p>
    <w:p w14:paraId="6B20684D" w14:textId="77777777" w:rsidR="008036A5" w:rsidRPr="00E545AD" w:rsidRDefault="008036A5" w:rsidP="00E545AD">
      <w:pPr>
        <w:pStyle w:val="Textoindependiente"/>
        <w:rPr>
          <w:szCs w:val="20"/>
        </w:rPr>
      </w:pPr>
      <w:bookmarkStart w:id="0" w:name="_GoBack"/>
      <w:bookmarkEnd w:id="0"/>
    </w:p>
    <w:p w14:paraId="30BFE102" w14:textId="1647AB17" w:rsidR="00416093" w:rsidRDefault="00F21D6A" w:rsidP="00E545AD">
      <w:pPr>
        <w:pStyle w:val="Ttulo2"/>
      </w:pPr>
      <w:bookmarkStart w:id="1" w:name="_Hlk484433727"/>
      <w:r>
        <w:t>Administración de la documentación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10398" w:rsidRPr="003F43E3" w14:paraId="02A4B1CF" w14:textId="77777777" w:rsidTr="00D27E64">
        <w:tc>
          <w:tcPr>
            <w:tcW w:w="3261" w:type="dxa"/>
            <w:vAlign w:val="center"/>
          </w:tcPr>
          <w:p w14:paraId="4950A8FE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Título</w:t>
            </w:r>
          </w:p>
        </w:tc>
        <w:tc>
          <w:tcPr>
            <w:tcW w:w="5811" w:type="dxa"/>
            <w:vAlign w:val="center"/>
          </w:tcPr>
          <w:p w14:paraId="3670060B" w14:textId="77FFD787" w:rsidR="00010398" w:rsidRPr="00EA3A02" w:rsidRDefault="0001039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Plenario de apertura</w:t>
            </w:r>
          </w:p>
        </w:tc>
      </w:tr>
      <w:tr w:rsidR="00010398" w:rsidRPr="003F43E3" w14:paraId="0641DFB7" w14:textId="77777777" w:rsidTr="00D27E64">
        <w:tc>
          <w:tcPr>
            <w:tcW w:w="3261" w:type="dxa"/>
            <w:vAlign w:val="center"/>
          </w:tcPr>
          <w:p w14:paraId="23363542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Distribución</w:t>
            </w:r>
          </w:p>
        </w:tc>
        <w:tc>
          <w:tcPr>
            <w:tcW w:w="5811" w:type="dxa"/>
            <w:vAlign w:val="center"/>
          </w:tcPr>
          <w:p w14:paraId="71A5F200" w14:textId="77777777" w:rsidR="00010398" w:rsidRPr="003F43E3" w:rsidRDefault="0001039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Miembros del GAC</w:t>
            </w:r>
          </w:p>
        </w:tc>
      </w:tr>
      <w:tr w:rsidR="00010398" w:rsidRPr="003F43E3" w14:paraId="0DD5FC1F" w14:textId="77777777" w:rsidTr="00D27E64">
        <w:tc>
          <w:tcPr>
            <w:tcW w:w="3261" w:type="dxa"/>
            <w:vAlign w:val="center"/>
          </w:tcPr>
          <w:p w14:paraId="283030BF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distribución</w:t>
            </w:r>
          </w:p>
        </w:tc>
        <w:tc>
          <w:tcPr>
            <w:tcW w:w="5811" w:type="dxa"/>
            <w:vAlign w:val="center"/>
          </w:tcPr>
          <w:p w14:paraId="71ABFAED" w14:textId="6AB07353" w:rsidR="0061275E" w:rsidRPr="003F43E3" w:rsidRDefault="0061275E" w:rsidP="0061275E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 de junio de 2018</w:t>
            </w:r>
          </w:p>
          <w:p w14:paraId="5BCACAE1" w14:textId="6FE37991" w:rsidR="003E00D7" w:rsidRPr="003F43E3" w:rsidRDefault="003E00D7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</w:p>
        </w:tc>
      </w:tr>
      <w:bookmarkEnd w:id="1"/>
    </w:tbl>
    <w:p w14:paraId="390E0F7F" w14:textId="4B0704C5" w:rsidR="00326091" w:rsidRPr="00CF56FA" w:rsidRDefault="00326091" w:rsidP="00326091">
      <w:pPr>
        <w:pStyle w:val="Textoindependiente"/>
        <w:ind w:right="545"/>
        <w:rPr>
          <w:color w:val="000000"/>
          <w:szCs w:val="20"/>
        </w:rPr>
      </w:pPr>
    </w:p>
    <w:sectPr w:rsidR="00326091" w:rsidRPr="00CF56FA" w:rsidSect="007A174E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3F83E" w14:textId="77777777" w:rsidR="00D447FC" w:rsidRDefault="00D447FC" w:rsidP="00A24449">
      <w:r>
        <w:separator/>
      </w:r>
    </w:p>
  </w:endnote>
  <w:endnote w:type="continuationSeparator" w:id="0">
    <w:p w14:paraId="22642F32" w14:textId="77777777" w:rsidR="00D447FC" w:rsidRDefault="00D447FC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BFA9" w14:textId="77777777" w:rsidR="00414BB7" w:rsidRDefault="00414BB7" w:rsidP="002276FD">
    <w:pPr>
      <w:pStyle w:val="Piedepgina"/>
      <w:ind w:left="-567" w:right="261"/>
    </w:pPr>
  </w:p>
  <w:p w14:paraId="1F6A8333" w14:textId="07D6AD7B" w:rsidR="00414BB7" w:rsidRPr="00B026C8" w:rsidRDefault="00D161F9" w:rsidP="002276FD">
    <w:pPr>
      <w:pBdr>
        <w:top w:val="single" w:sz="18" w:space="1" w:color="1F497D"/>
      </w:pBdr>
      <w:spacing w:before="240"/>
      <w:ind w:right="261"/>
      <w:rPr>
        <w:rFonts w:ascii="Century Gothic" w:hAnsi="Century Gothic"/>
        <w:color w:val="00408E"/>
      </w:rPr>
    </w:pP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      </w:t>
    </w:r>
    <w:r>
      <w:rPr>
        <w:rFonts w:ascii="Century Gothic" w:hAnsi="Century Gothic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                 </w:t>
    </w:r>
    <w:r>
      <w:rPr>
        <w:rFonts w:ascii="Century Gothic" w:hAnsi="Century Gothic"/>
        <w:color w:val="00408E"/>
        <w:sz w:val="16"/>
        <w:szCs w:val="16"/>
      </w:rPr>
      <w:tab/>
      <w:t xml:space="preserve"> Página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AA65BB">
      <w:rPr>
        <w:rFonts w:ascii="Century Gothic" w:hAnsi="Century Gothic"/>
        <w:noProof/>
        <w:color w:val="00408E"/>
        <w:sz w:val="16"/>
        <w:szCs w:val="16"/>
      </w:rPr>
      <w:t>2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  <w:szCs w:val="16"/>
      </w:rPr>
      <w:t xml:space="preserve"> de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AA65BB">
      <w:rPr>
        <w:rFonts w:ascii="Century Gothic" w:hAnsi="Century Gothic"/>
        <w:noProof/>
        <w:color w:val="00408E"/>
        <w:sz w:val="16"/>
        <w:szCs w:val="16"/>
      </w:rPr>
      <w:t>2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414BB7" w:rsidRPr="000C0FD7" w:rsidRDefault="00414BB7" w:rsidP="003D7A8D">
    <w:pPr>
      <w:pStyle w:val="Piedepgin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29D5" w14:textId="77777777" w:rsidR="00414BB7" w:rsidRPr="00C2562C" w:rsidRDefault="00414BB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414BB7" w:rsidRPr="00580BC7" w:rsidRDefault="00414BB7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580BC7">
      <w:rPr>
        <w:sz w:val="16"/>
        <w:szCs w:val="16"/>
        <w:lang w:val="en-US"/>
      </w:rPr>
      <w:t xml:space="preserve">203 Drummond Street, Carlton VIC 3053 </w:t>
    </w:r>
  </w:p>
  <w:p w14:paraId="43F9FA24" w14:textId="77777777" w:rsidR="00414BB7" w:rsidRPr="00580BC7" w:rsidRDefault="00414BB7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580BC7">
      <w:rPr>
        <w:sz w:val="16"/>
        <w:szCs w:val="16"/>
        <w:lang w:val="en-US"/>
      </w:rPr>
      <w:t>03 9650 7222</w:t>
    </w:r>
  </w:p>
  <w:p w14:paraId="67FE17A9" w14:textId="77777777" w:rsidR="00414BB7" w:rsidRPr="00580BC7" w:rsidRDefault="00414BB7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580BC7">
      <w:rPr>
        <w:sz w:val="16"/>
        <w:szCs w:val="16"/>
        <w:lang w:val="en-US"/>
      </w:rPr>
      <w:t xml:space="preserve">www.acig.com.au </w:t>
    </w:r>
  </w:p>
  <w:p w14:paraId="19DE8D68" w14:textId="77777777" w:rsidR="00414BB7" w:rsidRPr="00580BC7" w:rsidRDefault="00414BB7" w:rsidP="003D7A8D">
    <w:pPr>
      <w:pStyle w:val="Piedepgina"/>
      <w:jc w:val="center"/>
      <w:rPr>
        <w:color w:val="00408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61816" w14:textId="77777777" w:rsidR="00D447FC" w:rsidRDefault="00D447FC" w:rsidP="00A24449">
      <w:r>
        <w:separator/>
      </w:r>
    </w:p>
  </w:footnote>
  <w:footnote w:type="continuationSeparator" w:id="0">
    <w:p w14:paraId="3E465C18" w14:textId="77777777" w:rsidR="00D447FC" w:rsidRDefault="00D447FC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CCD3B" w14:textId="1615749A" w:rsidR="00414BB7" w:rsidRDefault="00AA65BB" w:rsidP="002276FD">
    <w:pPr>
      <w:pStyle w:val="Encabezado"/>
      <w:tabs>
        <w:tab w:val="clear" w:pos="4680"/>
        <w:tab w:val="clear" w:pos="9360"/>
      </w:tabs>
      <w:ind w:left="7920" w:right="-306" w:firstLine="444"/>
    </w:pPr>
    <w:bookmarkStart w:id="2" w:name="_Hlk484433278"/>
    <w:bookmarkStart w:id="3" w:name="_Hlk484433279"/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26A1A232">
              <wp:simplePos x="0" y="0"/>
              <wp:positionH relativeFrom="column">
                <wp:posOffset>4157980</wp:posOffset>
              </wp:positionH>
              <wp:positionV relativeFrom="paragraph">
                <wp:posOffset>217170</wp:posOffset>
              </wp:positionV>
              <wp:extent cx="1713865" cy="297815"/>
              <wp:effectExtent l="0" t="0" r="635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414BB7" w:rsidRPr="00A12C22" w:rsidRDefault="00414BB7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  <w:t>Secretaría del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7.4pt;margin-top:17.1pt;width:134.9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p7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" stroked="f">
              <v:textbox>
                <w:txbxContent>
                  <w:p w14:paraId="46E2D9AF" w14:textId="77777777" w:rsidR="00414BB7" w:rsidRPr="00A12C22" w:rsidRDefault="00414BB7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  <w:t>Secretaría del GAC</w:t>
                    </w:r>
                  </w:p>
                </w:txbxContent>
              </v:textbox>
            </v:shape>
          </w:pict>
        </mc:Fallback>
      </mc:AlternateContent>
    </w:r>
    <w:r w:rsidR="00414BB7">
      <w:rPr>
        <w:noProof/>
        <w:lang w:val="es-AR" w:eastAsia="es-AR"/>
      </w:rPr>
      <w:drawing>
        <wp:inline distT="0" distB="0" distL="0" distR="0" wp14:anchorId="2EFA62C4" wp14:editId="1B192B78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BB7">
      <w:t xml:space="preserve"> </w:t>
    </w:r>
    <w:bookmarkEnd w:id="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697E" w14:textId="77777777" w:rsidR="00414BB7" w:rsidRDefault="00414BB7" w:rsidP="00C2562C">
    <w:pPr>
      <w:pStyle w:val="Encabezado"/>
      <w:tabs>
        <w:tab w:val="clear" w:pos="9360"/>
      </w:tabs>
      <w:ind w:left="-851"/>
      <w:jc w:val="center"/>
    </w:pPr>
    <w:r>
      <w:rPr>
        <w:noProof/>
        <w:lang w:val="es-AR" w:eastAsia="es-AR"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B4F4E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28C48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2D0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AB64DA"/>
    <w:multiLevelType w:val="hybridMultilevel"/>
    <w:tmpl w:val="9FD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B7688"/>
    <w:multiLevelType w:val="hybridMultilevel"/>
    <w:tmpl w:val="3878CF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CB15D59"/>
    <w:multiLevelType w:val="hybridMultilevel"/>
    <w:tmpl w:val="D99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34EA"/>
    <w:multiLevelType w:val="hybridMultilevel"/>
    <w:tmpl w:val="427E68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C1D81"/>
    <w:multiLevelType w:val="hybridMultilevel"/>
    <w:tmpl w:val="3E7477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41F29"/>
    <w:multiLevelType w:val="hybridMultilevel"/>
    <w:tmpl w:val="2F46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5318"/>
    <w:multiLevelType w:val="hybridMultilevel"/>
    <w:tmpl w:val="A88A34A0"/>
    <w:lvl w:ilvl="0" w:tplc="66068FF0">
      <w:start w:val="1"/>
      <w:numFmt w:val="bullet"/>
      <w:pStyle w:val="Listaconvietas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3">
    <w:nsid w:val="6E520D26"/>
    <w:multiLevelType w:val="hybridMultilevel"/>
    <w:tmpl w:val="403A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1040D"/>
    <w:multiLevelType w:val="hybridMultilevel"/>
    <w:tmpl w:val="4516B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70E36"/>
    <w:multiLevelType w:val="hybridMultilevel"/>
    <w:tmpl w:val="DA86D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2"/>
  </w:num>
  <w:num w:numId="13">
    <w:abstractNumId w:val="21"/>
  </w:num>
  <w:num w:numId="14">
    <w:abstractNumId w:val="12"/>
  </w:num>
  <w:num w:numId="15">
    <w:abstractNumId w:val="18"/>
  </w:num>
  <w:num w:numId="16">
    <w:abstractNumId w:val="20"/>
  </w:num>
  <w:num w:numId="17">
    <w:abstractNumId w:val="10"/>
  </w:num>
  <w:num w:numId="18">
    <w:abstractNumId w:val="15"/>
  </w:num>
  <w:num w:numId="19">
    <w:abstractNumId w:val="23"/>
  </w:num>
  <w:num w:numId="20">
    <w:abstractNumId w:val="11"/>
  </w:num>
  <w:num w:numId="21">
    <w:abstractNumId w:val="24"/>
  </w:num>
  <w:num w:numId="22">
    <w:abstractNumId w:val="19"/>
  </w:num>
  <w:num w:numId="23">
    <w:abstractNumId w:val="25"/>
  </w:num>
  <w:num w:numId="24">
    <w:abstractNumId w:val="14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0C"/>
    <w:rsid w:val="00010398"/>
    <w:rsid w:val="00017DDB"/>
    <w:rsid w:val="00023512"/>
    <w:rsid w:val="0002714F"/>
    <w:rsid w:val="000328A2"/>
    <w:rsid w:val="00082530"/>
    <w:rsid w:val="00082DC5"/>
    <w:rsid w:val="00083BC8"/>
    <w:rsid w:val="00090D02"/>
    <w:rsid w:val="00093540"/>
    <w:rsid w:val="000964B7"/>
    <w:rsid w:val="000B4BF2"/>
    <w:rsid w:val="000C0FD7"/>
    <w:rsid w:val="000C5167"/>
    <w:rsid w:val="000C6B2E"/>
    <w:rsid w:val="000E673E"/>
    <w:rsid w:val="00100B57"/>
    <w:rsid w:val="00114AC2"/>
    <w:rsid w:val="0011635D"/>
    <w:rsid w:val="001263BE"/>
    <w:rsid w:val="001553D7"/>
    <w:rsid w:val="001577F4"/>
    <w:rsid w:val="0016195D"/>
    <w:rsid w:val="001703E0"/>
    <w:rsid w:val="001747E3"/>
    <w:rsid w:val="001814B7"/>
    <w:rsid w:val="001A03E9"/>
    <w:rsid w:val="001A3B02"/>
    <w:rsid w:val="001B337F"/>
    <w:rsid w:val="002110FA"/>
    <w:rsid w:val="002276FD"/>
    <w:rsid w:val="00227A72"/>
    <w:rsid w:val="00250279"/>
    <w:rsid w:val="0025104A"/>
    <w:rsid w:val="00262ACB"/>
    <w:rsid w:val="002672FB"/>
    <w:rsid w:val="00273354"/>
    <w:rsid w:val="002A3393"/>
    <w:rsid w:val="002E2F52"/>
    <w:rsid w:val="002F7386"/>
    <w:rsid w:val="00326091"/>
    <w:rsid w:val="003260DC"/>
    <w:rsid w:val="00327A1A"/>
    <w:rsid w:val="003308BB"/>
    <w:rsid w:val="003401B4"/>
    <w:rsid w:val="003643C4"/>
    <w:rsid w:val="003644DC"/>
    <w:rsid w:val="00364F2E"/>
    <w:rsid w:val="003774BC"/>
    <w:rsid w:val="003961C1"/>
    <w:rsid w:val="003A1AB7"/>
    <w:rsid w:val="003A4BE6"/>
    <w:rsid w:val="003A77D8"/>
    <w:rsid w:val="003D7A8D"/>
    <w:rsid w:val="003E00D7"/>
    <w:rsid w:val="003E1676"/>
    <w:rsid w:val="003F6D42"/>
    <w:rsid w:val="00400344"/>
    <w:rsid w:val="00406CEE"/>
    <w:rsid w:val="00412A64"/>
    <w:rsid w:val="00414BB7"/>
    <w:rsid w:val="00416093"/>
    <w:rsid w:val="004256A5"/>
    <w:rsid w:val="00454CBD"/>
    <w:rsid w:val="00466CD1"/>
    <w:rsid w:val="00474FB2"/>
    <w:rsid w:val="00482610"/>
    <w:rsid w:val="004837E2"/>
    <w:rsid w:val="00492E56"/>
    <w:rsid w:val="004A58B8"/>
    <w:rsid w:val="004C05E0"/>
    <w:rsid w:val="004D1CD5"/>
    <w:rsid w:val="004E22C7"/>
    <w:rsid w:val="004E2498"/>
    <w:rsid w:val="0051347B"/>
    <w:rsid w:val="00551E3C"/>
    <w:rsid w:val="00577F86"/>
    <w:rsid w:val="00580A87"/>
    <w:rsid w:val="00580BC7"/>
    <w:rsid w:val="005A6672"/>
    <w:rsid w:val="005B7B51"/>
    <w:rsid w:val="005D01E7"/>
    <w:rsid w:val="005E2917"/>
    <w:rsid w:val="0061275E"/>
    <w:rsid w:val="00616F3E"/>
    <w:rsid w:val="00624AEC"/>
    <w:rsid w:val="00632EEB"/>
    <w:rsid w:val="00641E9D"/>
    <w:rsid w:val="00644167"/>
    <w:rsid w:val="00652018"/>
    <w:rsid w:val="00652976"/>
    <w:rsid w:val="00652C5A"/>
    <w:rsid w:val="0067002E"/>
    <w:rsid w:val="006735F6"/>
    <w:rsid w:val="0067686F"/>
    <w:rsid w:val="0067792E"/>
    <w:rsid w:val="00683C6C"/>
    <w:rsid w:val="006A2807"/>
    <w:rsid w:val="00700CF9"/>
    <w:rsid w:val="00722431"/>
    <w:rsid w:val="0072423D"/>
    <w:rsid w:val="007254F9"/>
    <w:rsid w:val="00731C3E"/>
    <w:rsid w:val="00740F60"/>
    <w:rsid w:val="007670C2"/>
    <w:rsid w:val="00776376"/>
    <w:rsid w:val="007A174E"/>
    <w:rsid w:val="007D32B7"/>
    <w:rsid w:val="007E16EE"/>
    <w:rsid w:val="007F5CD3"/>
    <w:rsid w:val="008036A5"/>
    <w:rsid w:val="00815A76"/>
    <w:rsid w:val="00817EAC"/>
    <w:rsid w:val="008246F4"/>
    <w:rsid w:val="0082500F"/>
    <w:rsid w:val="00854588"/>
    <w:rsid w:val="00860141"/>
    <w:rsid w:val="008822A3"/>
    <w:rsid w:val="00882354"/>
    <w:rsid w:val="00884900"/>
    <w:rsid w:val="00896848"/>
    <w:rsid w:val="008A340E"/>
    <w:rsid w:val="008B2849"/>
    <w:rsid w:val="008C4F95"/>
    <w:rsid w:val="00906E89"/>
    <w:rsid w:val="009123B6"/>
    <w:rsid w:val="0099631A"/>
    <w:rsid w:val="009B2B70"/>
    <w:rsid w:val="009C77A8"/>
    <w:rsid w:val="009D4550"/>
    <w:rsid w:val="00A04681"/>
    <w:rsid w:val="00A07882"/>
    <w:rsid w:val="00A12C22"/>
    <w:rsid w:val="00A24449"/>
    <w:rsid w:val="00A269EA"/>
    <w:rsid w:val="00A40DB0"/>
    <w:rsid w:val="00A55D0C"/>
    <w:rsid w:val="00A602F2"/>
    <w:rsid w:val="00A660EB"/>
    <w:rsid w:val="00A711EC"/>
    <w:rsid w:val="00A779C6"/>
    <w:rsid w:val="00A86B36"/>
    <w:rsid w:val="00AA0126"/>
    <w:rsid w:val="00AA65BB"/>
    <w:rsid w:val="00AB26F7"/>
    <w:rsid w:val="00AC5490"/>
    <w:rsid w:val="00AC54BB"/>
    <w:rsid w:val="00AD1076"/>
    <w:rsid w:val="00AF4179"/>
    <w:rsid w:val="00B026C8"/>
    <w:rsid w:val="00B21330"/>
    <w:rsid w:val="00B22FE8"/>
    <w:rsid w:val="00B50059"/>
    <w:rsid w:val="00B72107"/>
    <w:rsid w:val="00B72D49"/>
    <w:rsid w:val="00BA0533"/>
    <w:rsid w:val="00BC7B05"/>
    <w:rsid w:val="00BE60A1"/>
    <w:rsid w:val="00C04541"/>
    <w:rsid w:val="00C114D4"/>
    <w:rsid w:val="00C144AE"/>
    <w:rsid w:val="00C21952"/>
    <w:rsid w:val="00C2562C"/>
    <w:rsid w:val="00C26F6D"/>
    <w:rsid w:val="00C3454E"/>
    <w:rsid w:val="00C50C2C"/>
    <w:rsid w:val="00C5673C"/>
    <w:rsid w:val="00C74517"/>
    <w:rsid w:val="00C92937"/>
    <w:rsid w:val="00C9701E"/>
    <w:rsid w:val="00CD30A8"/>
    <w:rsid w:val="00CD57F8"/>
    <w:rsid w:val="00CF0606"/>
    <w:rsid w:val="00CF4236"/>
    <w:rsid w:val="00CF4E9A"/>
    <w:rsid w:val="00CF56FA"/>
    <w:rsid w:val="00D01CBD"/>
    <w:rsid w:val="00D049CB"/>
    <w:rsid w:val="00D07C27"/>
    <w:rsid w:val="00D161F9"/>
    <w:rsid w:val="00D17FF3"/>
    <w:rsid w:val="00D41280"/>
    <w:rsid w:val="00D447FC"/>
    <w:rsid w:val="00D5733E"/>
    <w:rsid w:val="00D57B30"/>
    <w:rsid w:val="00D60FD6"/>
    <w:rsid w:val="00D86EA8"/>
    <w:rsid w:val="00D9442D"/>
    <w:rsid w:val="00DA436F"/>
    <w:rsid w:val="00DA46B6"/>
    <w:rsid w:val="00DB2F1E"/>
    <w:rsid w:val="00DC31AD"/>
    <w:rsid w:val="00DD25D6"/>
    <w:rsid w:val="00DD2C34"/>
    <w:rsid w:val="00DE621B"/>
    <w:rsid w:val="00DF0C5D"/>
    <w:rsid w:val="00DF5B00"/>
    <w:rsid w:val="00E016F8"/>
    <w:rsid w:val="00E06DE4"/>
    <w:rsid w:val="00E248DA"/>
    <w:rsid w:val="00E3060B"/>
    <w:rsid w:val="00E41689"/>
    <w:rsid w:val="00E545AD"/>
    <w:rsid w:val="00E57BDD"/>
    <w:rsid w:val="00E61DEA"/>
    <w:rsid w:val="00E64914"/>
    <w:rsid w:val="00E7196B"/>
    <w:rsid w:val="00E9134A"/>
    <w:rsid w:val="00E927F8"/>
    <w:rsid w:val="00EA31FB"/>
    <w:rsid w:val="00EA3A02"/>
    <w:rsid w:val="00EB24E9"/>
    <w:rsid w:val="00EC3C37"/>
    <w:rsid w:val="00EE13FD"/>
    <w:rsid w:val="00EE2665"/>
    <w:rsid w:val="00F21D6A"/>
    <w:rsid w:val="00F42A85"/>
    <w:rsid w:val="00F4462E"/>
    <w:rsid w:val="00F46F4F"/>
    <w:rsid w:val="00F60D91"/>
    <w:rsid w:val="00F80F21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BF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s-MX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EE"/>
    <w:rPr>
      <w:rFonts w:ascii="Calibri" w:eastAsia="Times New Roman" w:hAnsi="Calibri"/>
      <w:sz w:val="24"/>
      <w:szCs w:val="24"/>
      <w:lang w:eastAsia="en-US"/>
    </w:rPr>
  </w:style>
  <w:style w:type="paragraph" w:styleId="Ttulo1">
    <w:name w:val="heading 1"/>
    <w:next w:val="Textoindependiente"/>
    <w:link w:val="Ttulo1C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Ttulo2">
    <w:name w:val="heading 2"/>
    <w:basedOn w:val="Textoindependiente"/>
    <w:next w:val="Textoindependiente"/>
    <w:link w:val="Ttulo2C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Ttulo3">
    <w:name w:val="heading 3"/>
    <w:basedOn w:val="Textoindependiente"/>
    <w:next w:val="Textoindependiente"/>
    <w:link w:val="Ttulo3C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Ttulo4">
    <w:name w:val="heading 4"/>
    <w:basedOn w:val="Textoindependiente"/>
    <w:next w:val="Textoindependiente"/>
    <w:link w:val="Ttulo4C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2665"/>
    <w:rPr>
      <w:b/>
      <w:color w:val="1F4E79" w:themeColor="accent1" w:themeShade="80"/>
      <w:sz w:val="24"/>
      <w:szCs w:val="24"/>
      <w:lang w:eastAsia="en-US"/>
    </w:rPr>
  </w:style>
  <w:style w:type="paragraph" w:styleId="TD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Encabezado">
    <w:name w:val="header"/>
    <w:basedOn w:val="Textoindependiente"/>
    <w:link w:val="EncabezadoC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076"/>
    <w:rPr>
      <w:rFonts w:ascii="Century Gothic" w:hAnsi="Century Gothic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449"/>
    <w:rPr>
      <w:rFonts w:ascii="Century Gothic" w:hAnsi="Century Gothic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F4E9A"/>
    <w:rPr>
      <w:b/>
      <w:color w:val="00408E"/>
      <w:sz w:val="28"/>
      <w:szCs w:val="28"/>
      <w:lang w:val="es-MX" w:eastAsia="en-US" w:bidi="ar-SA"/>
    </w:rPr>
  </w:style>
  <w:style w:type="paragraph" w:styleId="Ttulo">
    <w:name w:val="Title"/>
    <w:basedOn w:val="Textoindependiente"/>
    <w:next w:val="Textoindependiente"/>
    <w:link w:val="TtuloC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xtoindependiente">
    <w:name w:val="Body Text"/>
    <w:link w:val="TextoindependienteC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2C7"/>
    <w:rPr>
      <w:szCs w:val="22"/>
      <w:lang w:val="es-MX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s-MX"/>
    </w:rPr>
  </w:style>
  <w:style w:type="character" w:styleId="Hipervnculo">
    <w:name w:val="Hyperlink"/>
    <w:basedOn w:val="Fuentedeprrafopredeter"/>
    <w:uiPriority w:val="99"/>
    <w:unhideWhenUsed/>
    <w:rsid w:val="0072423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F4E9A"/>
    <w:rPr>
      <w:b/>
      <w:color w:val="00408E"/>
      <w:szCs w:val="2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4E22C7"/>
    <w:rPr>
      <w:color w:val="00408E"/>
      <w:szCs w:val="22"/>
      <w:lang w:val="es-MX"/>
    </w:rPr>
  </w:style>
  <w:style w:type="paragraph" w:styleId="Listaconvietas">
    <w:name w:val="List Bullet"/>
    <w:basedOn w:val="Listaconvietas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convietas2">
    <w:name w:val="List Bullet 2"/>
    <w:basedOn w:val="Listaconvietas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Continuarlista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convietas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convietas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convietas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Prrafodelista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Encabezadodelista">
    <w:name w:val="toa heading"/>
    <w:basedOn w:val="Ttulo1"/>
    <w:next w:val="Normal"/>
    <w:uiPriority w:val="99"/>
    <w:unhideWhenUsed/>
    <w:rsid w:val="000C5167"/>
    <w:pPr>
      <w:spacing w:after="400"/>
    </w:pPr>
  </w:style>
  <w:style w:type="table" w:styleId="Tablaconcuadrcula">
    <w:name w:val="Table Grid"/>
    <w:basedOn w:val="Tabla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a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3">
    <w:name w:val="Light Shading Accent 3"/>
    <w:basedOn w:val="Tabla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5">
    <w:name w:val="Light Shading Accent 5"/>
    <w:basedOn w:val="Tabla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a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Sinespaciado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06CEE"/>
  </w:style>
  <w:style w:type="character" w:customStyle="1" w:styleId="TextonotapieCar">
    <w:name w:val="Texto nota pie Car"/>
    <w:basedOn w:val="Fuentedeprrafopredeter"/>
    <w:link w:val="Textonotapie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06C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B0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1703E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s-MX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EE"/>
    <w:rPr>
      <w:rFonts w:ascii="Calibri" w:eastAsia="Times New Roman" w:hAnsi="Calibri"/>
      <w:sz w:val="24"/>
      <w:szCs w:val="24"/>
      <w:lang w:eastAsia="en-US"/>
    </w:rPr>
  </w:style>
  <w:style w:type="paragraph" w:styleId="Ttulo1">
    <w:name w:val="heading 1"/>
    <w:next w:val="Textoindependiente"/>
    <w:link w:val="Ttulo1C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Ttulo2">
    <w:name w:val="heading 2"/>
    <w:basedOn w:val="Textoindependiente"/>
    <w:next w:val="Textoindependiente"/>
    <w:link w:val="Ttulo2C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Ttulo3">
    <w:name w:val="heading 3"/>
    <w:basedOn w:val="Textoindependiente"/>
    <w:next w:val="Textoindependiente"/>
    <w:link w:val="Ttulo3C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Ttulo4">
    <w:name w:val="heading 4"/>
    <w:basedOn w:val="Textoindependiente"/>
    <w:next w:val="Textoindependiente"/>
    <w:link w:val="Ttulo4C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2665"/>
    <w:rPr>
      <w:b/>
      <w:color w:val="1F4E79" w:themeColor="accent1" w:themeShade="80"/>
      <w:sz w:val="24"/>
      <w:szCs w:val="24"/>
      <w:lang w:eastAsia="en-US"/>
    </w:rPr>
  </w:style>
  <w:style w:type="paragraph" w:styleId="TD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Encabezado">
    <w:name w:val="header"/>
    <w:basedOn w:val="Textoindependiente"/>
    <w:link w:val="EncabezadoC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076"/>
    <w:rPr>
      <w:rFonts w:ascii="Century Gothic" w:hAnsi="Century Gothic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449"/>
    <w:rPr>
      <w:rFonts w:ascii="Century Gothic" w:hAnsi="Century Gothic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F4E9A"/>
    <w:rPr>
      <w:b/>
      <w:color w:val="00408E"/>
      <w:sz w:val="28"/>
      <w:szCs w:val="28"/>
      <w:lang w:val="es-MX" w:eastAsia="en-US" w:bidi="ar-SA"/>
    </w:rPr>
  </w:style>
  <w:style w:type="paragraph" w:styleId="Ttulo">
    <w:name w:val="Title"/>
    <w:basedOn w:val="Textoindependiente"/>
    <w:next w:val="Textoindependiente"/>
    <w:link w:val="TtuloC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xtoindependiente">
    <w:name w:val="Body Text"/>
    <w:link w:val="TextoindependienteC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2C7"/>
    <w:rPr>
      <w:szCs w:val="22"/>
      <w:lang w:val="es-MX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s-MX"/>
    </w:rPr>
  </w:style>
  <w:style w:type="character" w:styleId="Hipervnculo">
    <w:name w:val="Hyperlink"/>
    <w:basedOn w:val="Fuentedeprrafopredeter"/>
    <w:uiPriority w:val="99"/>
    <w:unhideWhenUsed/>
    <w:rsid w:val="0072423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F4E9A"/>
    <w:rPr>
      <w:b/>
      <w:color w:val="00408E"/>
      <w:szCs w:val="2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4E22C7"/>
    <w:rPr>
      <w:color w:val="00408E"/>
      <w:szCs w:val="22"/>
      <w:lang w:val="es-MX"/>
    </w:rPr>
  </w:style>
  <w:style w:type="paragraph" w:styleId="Listaconvietas">
    <w:name w:val="List Bullet"/>
    <w:basedOn w:val="Listaconvietas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convietas2">
    <w:name w:val="List Bullet 2"/>
    <w:basedOn w:val="Listaconvietas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Continuarlista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convietas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convietas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convietas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Prrafodelista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Encabezadodelista">
    <w:name w:val="toa heading"/>
    <w:basedOn w:val="Ttulo1"/>
    <w:next w:val="Normal"/>
    <w:uiPriority w:val="99"/>
    <w:unhideWhenUsed/>
    <w:rsid w:val="000C5167"/>
    <w:pPr>
      <w:spacing w:after="400"/>
    </w:pPr>
  </w:style>
  <w:style w:type="table" w:styleId="Tablaconcuadrcula">
    <w:name w:val="Table Grid"/>
    <w:basedOn w:val="Tabla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a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3">
    <w:name w:val="Light Shading Accent 3"/>
    <w:basedOn w:val="Tabla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5">
    <w:name w:val="Light Shading Accent 5"/>
    <w:basedOn w:val="Tabla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a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Sinespaciado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06CEE"/>
  </w:style>
  <w:style w:type="character" w:customStyle="1" w:styleId="TextonotapieCar">
    <w:name w:val="Texto nota pie Car"/>
    <w:basedOn w:val="Fuentedeprrafopredeter"/>
    <w:link w:val="Textonotapie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06C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B0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1703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62.schedule.icann.org/meetin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62.schedule.icann.org/meeting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F3F1-776F-44BD-89A4-6C1F6E1B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3439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Usuario</cp:lastModifiedBy>
  <cp:revision>5</cp:revision>
  <cp:lastPrinted>2013-11-27T05:14:00Z</cp:lastPrinted>
  <dcterms:created xsi:type="dcterms:W3CDTF">2018-06-07T09:23:00Z</dcterms:created>
  <dcterms:modified xsi:type="dcterms:W3CDTF">2018-06-14T15:53:00Z</dcterms:modified>
</cp:coreProperties>
</file>